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80C13" w14:textId="2134F6B6" w:rsidR="00B933F4" w:rsidRDefault="00B933F4" w:rsidP="00793DAF">
      <w:pPr>
        <w:spacing w:line="300" w:lineRule="exact"/>
        <w:ind w:left="708" w:hanging="708"/>
        <w:jc w:val="both"/>
        <w:rPr>
          <w:rFonts w:ascii="gobCL" w:hAnsi="gobCL"/>
          <w:b/>
          <w:bCs/>
          <w:color w:val="3D69AF"/>
          <w:sz w:val="16"/>
          <w:szCs w:val="16"/>
        </w:rPr>
      </w:pPr>
      <w:r w:rsidRPr="00B933F4">
        <w:rPr>
          <w:rFonts w:ascii="gobCL" w:hAnsi="gobCL"/>
          <w:b/>
          <w:bCs/>
          <w:color w:val="3D69AF"/>
          <w:sz w:val="16"/>
          <w:szCs w:val="16"/>
        </w:rPr>
        <w:t>COMUNICADO DE PRENSA</w:t>
      </w:r>
    </w:p>
    <w:p w14:paraId="2B5B3674" w14:textId="77777777" w:rsidR="00B933F4" w:rsidRPr="00B933F4" w:rsidRDefault="00B933F4" w:rsidP="00B933F4">
      <w:pPr>
        <w:spacing w:line="300" w:lineRule="exact"/>
        <w:jc w:val="both"/>
        <w:rPr>
          <w:rFonts w:ascii="gobCL" w:hAnsi="gobCL"/>
          <w:b/>
          <w:bCs/>
          <w:color w:val="3D69AF"/>
          <w:sz w:val="16"/>
          <w:szCs w:val="16"/>
        </w:rPr>
      </w:pPr>
    </w:p>
    <w:p w14:paraId="4188A927" w14:textId="123D75DA" w:rsidR="00A8705D" w:rsidRDefault="008A2556" w:rsidP="00755F50">
      <w:pPr>
        <w:spacing w:line="276" w:lineRule="auto"/>
        <w:jc w:val="center"/>
        <w:rPr>
          <w:rFonts w:ascii="gobCL" w:hAnsi="gobCL"/>
          <w:b/>
          <w:bCs/>
          <w:color w:val="263574"/>
          <w:sz w:val="28"/>
          <w:szCs w:val="28"/>
        </w:rPr>
      </w:pPr>
      <w:r w:rsidRPr="008A2556">
        <w:rPr>
          <w:rFonts w:ascii="gobCL" w:hAnsi="gobCL"/>
          <w:b/>
          <w:bCs/>
          <w:color w:val="263574"/>
          <w:sz w:val="28"/>
          <w:szCs w:val="28"/>
        </w:rPr>
        <w:t>Ministerio de Hacienda realiza aporte neto por US$ 304 millones al Fondo de Reserva de Pensiones</w:t>
      </w:r>
    </w:p>
    <w:p w14:paraId="4C670A85" w14:textId="77777777" w:rsidR="00AC4071" w:rsidRPr="00AC4071" w:rsidRDefault="00AC4071" w:rsidP="00AC4071">
      <w:pPr>
        <w:pStyle w:val="Prrafodelista"/>
        <w:numPr>
          <w:ilvl w:val="0"/>
          <w:numId w:val="10"/>
        </w:numPr>
        <w:spacing w:line="380" w:lineRule="exact"/>
        <w:jc w:val="both"/>
        <w:rPr>
          <w:rFonts w:ascii="gobCL" w:hAnsi="gobCL"/>
          <w:i/>
          <w:iCs/>
          <w:sz w:val="20"/>
          <w:szCs w:val="20"/>
        </w:rPr>
      </w:pPr>
      <w:r w:rsidRPr="00AC4071">
        <w:rPr>
          <w:rFonts w:ascii="gobCL" w:hAnsi="gobCL"/>
          <w:i/>
          <w:iCs/>
          <w:sz w:val="20"/>
          <w:szCs w:val="20"/>
        </w:rPr>
        <w:t xml:space="preserve">En junio se aportaron al fondo US$ 607 millones, correspondientes al 0,2% del PIB y consistentes con el déficit efectivo de 2,4% de 2023. </w:t>
      </w:r>
    </w:p>
    <w:p w14:paraId="280B8009" w14:textId="77777777" w:rsidR="00AC4071" w:rsidRPr="00AC4071" w:rsidRDefault="00AC4071" w:rsidP="00AC4071">
      <w:pPr>
        <w:pStyle w:val="Prrafodelista"/>
        <w:numPr>
          <w:ilvl w:val="0"/>
          <w:numId w:val="10"/>
        </w:numPr>
        <w:spacing w:line="380" w:lineRule="exact"/>
        <w:jc w:val="both"/>
        <w:rPr>
          <w:rFonts w:ascii="gobCL" w:hAnsi="gobCL"/>
          <w:i/>
          <w:iCs/>
          <w:sz w:val="20"/>
          <w:szCs w:val="20"/>
        </w:rPr>
      </w:pPr>
      <w:r w:rsidRPr="00AC4071">
        <w:rPr>
          <w:rFonts w:ascii="gobCL" w:hAnsi="gobCL"/>
          <w:i/>
          <w:iCs/>
          <w:sz w:val="20"/>
          <w:szCs w:val="20"/>
        </w:rPr>
        <w:t>A su vez, se retiraron US$ 304 millones, correspondientes a 0,1% del PIB. Tanto el monto del aporte como del retiro corresponden a los montos autorizados en la Ley sobre Responsabilidad Fiscal</w:t>
      </w:r>
    </w:p>
    <w:p w14:paraId="6CDF55CF" w14:textId="77777777" w:rsidR="00B933F4" w:rsidRPr="00D27713" w:rsidRDefault="00B933F4" w:rsidP="00B756F2">
      <w:pPr>
        <w:spacing w:line="380" w:lineRule="exact"/>
        <w:ind w:left="714" w:hanging="357"/>
        <w:jc w:val="both"/>
        <w:rPr>
          <w:rFonts w:ascii="gobCL" w:hAnsi="gobCL"/>
          <w:b/>
          <w:bCs/>
          <w:i/>
          <w:iCs/>
          <w:color w:val="263574"/>
          <w:sz w:val="22"/>
          <w:szCs w:val="22"/>
        </w:rPr>
      </w:pPr>
    </w:p>
    <w:p w14:paraId="160CE378" w14:textId="77777777" w:rsidR="001C4A5F" w:rsidRPr="001C4A5F" w:rsidRDefault="00A8705D" w:rsidP="001C4A5F">
      <w:pPr>
        <w:spacing w:line="254" w:lineRule="atLeast"/>
        <w:jc w:val="both"/>
        <w:textAlignment w:val="baseline"/>
        <w:rPr>
          <w:rFonts w:ascii="gobCL" w:eastAsia="Times New Roman" w:hAnsi="gobCL" w:cs="Calibri"/>
          <w:color w:val="000000"/>
          <w:sz w:val="20"/>
          <w:szCs w:val="20"/>
          <w:lang w:val="es-ES"/>
        </w:rPr>
      </w:pPr>
      <w:r>
        <w:rPr>
          <w:rFonts w:ascii="gobCL" w:hAnsi="gobCL"/>
          <w:b/>
          <w:bCs/>
          <w:sz w:val="20"/>
          <w:szCs w:val="20"/>
        </w:rPr>
        <w:t>Santiago</w:t>
      </w:r>
      <w:r w:rsidR="00690E33" w:rsidRPr="00EA65C4">
        <w:rPr>
          <w:rFonts w:ascii="gobCL" w:hAnsi="gobCL"/>
          <w:b/>
          <w:bCs/>
          <w:sz w:val="20"/>
          <w:szCs w:val="20"/>
        </w:rPr>
        <w:t xml:space="preserve">, </w:t>
      </w:r>
      <w:r w:rsidR="00AC4071">
        <w:rPr>
          <w:rFonts w:ascii="gobCL" w:hAnsi="gobCL"/>
          <w:b/>
          <w:bCs/>
          <w:sz w:val="20"/>
          <w:szCs w:val="20"/>
        </w:rPr>
        <w:t>21</w:t>
      </w:r>
      <w:r w:rsidR="00690E33" w:rsidRPr="00EA65C4">
        <w:rPr>
          <w:rFonts w:ascii="gobCL" w:hAnsi="gobCL"/>
          <w:b/>
          <w:bCs/>
          <w:sz w:val="20"/>
          <w:szCs w:val="20"/>
        </w:rPr>
        <w:t xml:space="preserve"> de </w:t>
      </w:r>
      <w:r w:rsidR="008B424D">
        <w:rPr>
          <w:rFonts w:ascii="gobCL" w:hAnsi="gobCL"/>
          <w:b/>
          <w:bCs/>
          <w:sz w:val="20"/>
          <w:szCs w:val="20"/>
        </w:rPr>
        <w:t>junio</w:t>
      </w:r>
      <w:r w:rsidR="00690E33" w:rsidRPr="00EA65C4">
        <w:rPr>
          <w:rFonts w:ascii="gobCL" w:hAnsi="gobCL"/>
          <w:b/>
          <w:bCs/>
          <w:sz w:val="20"/>
          <w:szCs w:val="20"/>
        </w:rPr>
        <w:t xml:space="preserve"> de 2024.- </w:t>
      </w:r>
      <w:r w:rsidR="001C4A5F" w:rsidRPr="001C4A5F">
        <w:rPr>
          <w:rFonts w:ascii="gobCL" w:eastAsia="Times New Roman" w:hAnsi="gobCL" w:cs="Calibri"/>
          <w:color w:val="000000"/>
          <w:sz w:val="20"/>
          <w:szCs w:val="20"/>
          <w:lang w:val="es-ES"/>
        </w:rPr>
        <w:t>En virtud del Decreto con Fuerza de Ley N°1, de 2006, del Ministerio de Hacienda, en junio se instruyó realizar un aporte de recursos por US$ 607 millones al Fondo de Reserva de Pensiones (FRP), monto que corresponde al 0,2% del PIB (Producto Interno Bruto) de 2023. Este monto es consistente con el déficit efectivo de 2,4% del PIB registrado en 2023 y con la Ley sobre Responsabilidad Fiscal que establece que el FRP debe recibir cada año al menos un aporte equivalente al 0,2% del PIB del año anterior.</w:t>
      </w:r>
    </w:p>
    <w:p w14:paraId="35125E9E" w14:textId="77777777" w:rsidR="001C4A5F" w:rsidRDefault="001C4A5F" w:rsidP="001C4A5F">
      <w:pPr>
        <w:spacing w:line="254" w:lineRule="atLeast"/>
        <w:jc w:val="both"/>
        <w:textAlignment w:val="baseline"/>
        <w:rPr>
          <w:rFonts w:ascii="gobCL" w:eastAsia="Times New Roman" w:hAnsi="gobCL" w:cs="Calibri"/>
          <w:color w:val="000000"/>
          <w:sz w:val="20"/>
          <w:szCs w:val="20"/>
          <w:lang w:val="es-ES"/>
        </w:rPr>
      </w:pPr>
    </w:p>
    <w:p w14:paraId="077F1D15" w14:textId="2ED4CEE8" w:rsidR="001C4A5F" w:rsidRPr="001C4A5F" w:rsidRDefault="001C4A5F" w:rsidP="001C4A5F">
      <w:pPr>
        <w:spacing w:line="254" w:lineRule="atLeast"/>
        <w:jc w:val="both"/>
        <w:textAlignment w:val="baseline"/>
        <w:rPr>
          <w:rFonts w:ascii="gobCL" w:eastAsia="Times New Roman" w:hAnsi="gobCL" w:cs="Calibri"/>
          <w:color w:val="000000"/>
          <w:sz w:val="20"/>
          <w:szCs w:val="20"/>
          <w:lang w:val="es-ES"/>
        </w:rPr>
      </w:pPr>
      <w:r w:rsidRPr="001C4A5F">
        <w:rPr>
          <w:rFonts w:ascii="gobCL" w:eastAsia="Times New Roman" w:hAnsi="gobCL" w:cs="Calibri"/>
          <w:color w:val="000000"/>
          <w:sz w:val="20"/>
          <w:szCs w:val="20"/>
          <w:lang w:val="es-ES"/>
        </w:rPr>
        <w:t>Por otra parte, con el fin de evitar costos innecesarios de transacción en las inversiones, se realizó, al mismo tiempo, el retiro anual desde el FRP de hasta 0,1% del PIB del año anterior, tal como exige la Ley sobre Responsabilidad Fiscal. El monto de los recursos retirados corresponde a US$304 millones. Cabe señalar que estos recursos, según los objetivos definidos para el fondo, serán utilizados para apoyar el financiamiento de la Pensión Garantizada Universal (PGU), la pensión básica solidaria de invalidez y el aporte previsional solidario de invalidez. De este modo, se complementa el financiamiento proveniente de otras fuentes para enfrentar futuras contingencias en materia de pensiones.</w:t>
      </w:r>
    </w:p>
    <w:p w14:paraId="3FF621BE" w14:textId="77777777" w:rsidR="001C4A5F" w:rsidRDefault="001C4A5F" w:rsidP="001C4A5F">
      <w:pPr>
        <w:spacing w:line="254" w:lineRule="atLeast"/>
        <w:jc w:val="both"/>
        <w:textAlignment w:val="baseline"/>
        <w:rPr>
          <w:rFonts w:ascii="gobCL" w:eastAsia="Times New Roman" w:hAnsi="gobCL" w:cs="Calibri"/>
          <w:color w:val="000000"/>
          <w:sz w:val="20"/>
          <w:szCs w:val="20"/>
          <w:lang w:val="es-ES"/>
        </w:rPr>
      </w:pPr>
    </w:p>
    <w:p w14:paraId="328B61BB" w14:textId="1CC4AB8E" w:rsidR="001C4A5F" w:rsidRPr="001C4A5F" w:rsidRDefault="001C4A5F" w:rsidP="001C4A5F">
      <w:pPr>
        <w:spacing w:line="254" w:lineRule="atLeast"/>
        <w:jc w:val="both"/>
        <w:textAlignment w:val="baseline"/>
        <w:rPr>
          <w:rFonts w:ascii="gobCL" w:eastAsia="Times New Roman" w:hAnsi="gobCL" w:cs="Calibri"/>
          <w:color w:val="000000"/>
          <w:sz w:val="20"/>
          <w:szCs w:val="20"/>
          <w:lang w:val="es-ES"/>
        </w:rPr>
      </w:pPr>
      <w:r w:rsidRPr="001C4A5F">
        <w:rPr>
          <w:rFonts w:ascii="gobCL" w:eastAsia="Times New Roman" w:hAnsi="gobCL" w:cs="Calibri"/>
          <w:color w:val="000000"/>
          <w:sz w:val="20"/>
          <w:szCs w:val="20"/>
          <w:lang w:val="es-ES"/>
        </w:rPr>
        <w:t>Así, el FRP recibió un aporte neto de US$ 304 millones lo que le permitirá alcanzar aproximadamente un tamaño de US$ 9.100 millones a fines de junio de 2024, equivalente a 2,8% del PIB.</w:t>
      </w:r>
    </w:p>
    <w:p w14:paraId="286E3945" w14:textId="77777777" w:rsidR="001C4A5F" w:rsidRDefault="001C4A5F" w:rsidP="001C4A5F">
      <w:pPr>
        <w:spacing w:line="254" w:lineRule="atLeast"/>
        <w:jc w:val="both"/>
        <w:textAlignment w:val="baseline"/>
        <w:rPr>
          <w:rFonts w:ascii="gobCL" w:eastAsia="Times New Roman" w:hAnsi="gobCL" w:cs="Calibri"/>
          <w:color w:val="000000"/>
          <w:sz w:val="20"/>
          <w:szCs w:val="20"/>
          <w:lang w:val="es-ES"/>
        </w:rPr>
      </w:pPr>
    </w:p>
    <w:p w14:paraId="28311821" w14:textId="60794C3A" w:rsidR="001C4A5F" w:rsidRPr="001C4A5F" w:rsidRDefault="001C4A5F" w:rsidP="001C4A5F">
      <w:pPr>
        <w:spacing w:line="254" w:lineRule="atLeast"/>
        <w:jc w:val="both"/>
        <w:textAlignment w:val="baseline"/>
        <w:rPr>
          <w:rFonts w:ascii="gobCL" w:eastAsia="Times New Roman" w:hAnsi="gobCL" w:cs="Calibri"/>
          <w:color w:val="000000"/>
          <w:sz w:val="20"/>
          <w:szCs w:val="20"/>
          <w:lang w:val="es-ES"/>
        </w:rPr>
      </w:pPr>
      <w:r w:rsidRPr="001C4A5F">
        <w:rPr>
          <w:rFonts w:ascii="gobCL" w:eastAsia="Times New Roman" w:hAnsi="gobCL" w:cs="Calibri"/>
          <w:color w:val="000000"/>
          <w:sz w:val="20"/>
          <w:szCs w:val="20"/>
          <w:lang w:val="es-ES"/>
        </w:rPr>
        <w:t>Como los recursos del Fondo de Estabilización Económica y Social (FEES) pueden ser utilizados para financiar los aportes al Fondo de Reserva de Pensiones -según lo que determina el Decreto con Fuerza de Ley N°1, de 2006, del Ministerio de Hacienda-, el aporte de US$ 607 millones provino desde este fondo. Es importante destacar que el FEES está disponible también como fuente adicional de financiamiento ante déficits fiscales, y para amortizar la deuda pública.</w:t>
      </w:r>
    </w:p>
    <w:p w14:paraId="7E77719E" w14:textId="77777777" w:rsidR="001C4A5F" w:rsidRDefault="001C4A5F" w:rsidP="001C4A5F">
      <w:pPr>
        <w:jc w:val="both"/>
        <w:rPr>
          <w:lang w:val="es-ES"/>
        </w:rPr>
      </w:pPr>
    </w:p>
    <w:p w14:paraId="25CDF7D4" w14:textId="474EAD1D" w:rsidR="00560B80" w:rsidRPr="00560B80" w:rsidRDefault="00560B80" w:rsidP="001C4A5F">
      <w:pPr>
        <w:spacing w:line="324" w:lineRule="auto"/>
        <w:jc w:val="both"/>
        <w:rPr>
          <w:rFonts w:ascii="gobCL" w:hAnsi="gobCL"/>
          <w:sz w:val="20"/>
          <w:szCs w:val="20"/>
        </w:rPr>
      </w:pPr>
    </w:p>
    <w:sectPr w:rsidR="00560B80" w:rsidRPr="00560B8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A3D2B" w14:textId="77777777" w:rsidR="00E06AF3" w:rsidRDefault="00E06AF3" w:rsidP="00B16F0B">
      <w:r>
        <w:separator/>
      </w:r>
    </w:p>
  </w:endnote>
  <w:endnote w:type="continuationSeparator" w:id="0">
    <w:p w14:paraId="4430E1E2" w14:textId="77777777" w:rsidR="00E06AF3" w:rsidRDefault="00E06AF3" w:rsidP="00B1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bCL">
    <w:altName w:val="Times New Roman"/>
    <w:panose1 w:val="00000000000000000000"/>
    <w:charset w:val="00"/>
    <w:family w:val="modern"/>
    <w:notTrueType/>
    <w:pitch w:val="variable"/>
    <w:sig w:usb0="A000002F" w:usb1="4000005B" w:usb2="00000000" w:usb3="00000000" w:csb0="0000011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9E58A" w14:textId="70BE864B" w:rsidR="00B933F4" w:rsidRDefault="00B933F4">
    <w:pPr>
      <w:pStyle w:val="Piedepgina"/>
    </w:pPr>
    <w:r>
      <w:rPr>
        <w:noProof/>
      </w:rPr>
      <w:drawing>
        <wp:anchor distT="0" distB="0" distL="114300" distR="114300" simplePos="0" relativeHeight="251659264" behindDoc="1" locked="0" layoutInCell="1" allowOverlap="1" wp14:anchorId="5832F14B" wp14:editId="6A8B2AC5">
          <wp:simplePos x="0" y="0"/>
          <wp:positionH relativeFrom="margin">
            <wp:posOffset>-1089660</wp:posOffset>
          </wp:positionH>
          <wp:positionV relativeFrom="margin">
            <wp:posOffset>7623175</wp:posOffset>
          </wp:positionV>
          <wp:extent cx="7767955" cy="994410"/>
          <wp:effectExtent l="0" t="0" r="4445" b="0"/>
          <wp:wrapSquare wrapText="bothSides"/>
          <wp:docPr id="12432305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30593"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767955" cy="994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1A7A1" w14:textId="77777777" w:rsidR="00E06AF3" w:rsidRDefault="00E06AF3" w:rsidP="00B16F0B">
      <w:r>
        <w:separator/>
      </w:r>
    </w:p>
  </w:footnote>
  <w:footnote w:type="continuationSeparator" w:id="0">
    <w:p w14:paraId="1C83405C" w14:textId="77777777" w:rsidR="00E06AF3" w:rsidRDefault="00E06AF3" w:rsidP="00B16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E049D" w14:textId="5F4C893F" w:rsidR="00B477C8" w:rsidRDefault="00B477C8">
    <w:pPr>
      <w:pStyle w:val="Encabezado"/>
    </w:pPr>
    <w:r>
      <w:rPr>
        <w:noProof/>
      </w:rPr>
      <w:drawing>
        <wp:anchor distT="0" distB="0" distL="114300" distR="114300" simplePos="0" relativeHeight="251658240" behindDoc="0" locked="0" layoutInCell="1" allowOverlap="1" wp14:anchorId="48C23F26" wp14:editId="163A2169">
          <wp:simplePos x="0" y="0"/>
          <wp:positionH relativeFrom="column">
            <wp:posOffset>-1089660</wp:posOffset>
          </wp:positionH>
          <wp:positionV relativeFrom="paragraph">
            <wp:posOffset>-459105</wp:posOffset>
          </wp:positionV>
          <wp:extent cx="7767955" cy="1141095"/>
          <wp:effectExtent l="0" t="0" r="4445" b="1905"/>
          <wp:wrapSquare wrapText="bothSides"/>
          <wp:docPr id="2130105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5484"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67955" cy="1141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80B0C"/>
    <w:multiLevelType w:val="hybridMultilevel"/>
    <w:tmpl w:val="1EE81C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68A7102"/>
    <w:multiLevelType w:val="hybridMultilevel"/>
    <w:tmpl w:val="597E9BE4"/>
    <w:lvl w:ilvl="0" w:tplc="F29CF970">
      <w:start w:val="1"/>
      <w:numFmt w:val="bullet"/>
      <w:lvlText w:val="•"/>
      <w:lvlJc w:val="left"/>
      <w:pPr>
        <w:tabs>
          <w:tab w:val="num" w:pos="720"/>
        </w:tabs>
        <w:ind w:left="720" w:hanging="360"/>
      </w:pPr>
      <w:rPr>
        <w:rFonts w:ascii="Arial" w:hAnsi="Arial" w:hint="default"/>
      </w:rPr>
    </w:lvl>
    <w:lvl w:ilvl="1" w:tplc="F2A067E0" w:tentative="1">
      <w:start w:val="1"/>
      <w:numFmt w:val="bullet"/>
      <w:lvlText w:val="•"/>
      <w:lvlJc w:val="left"/>
      <w:pPr>
        <w:tabs>
          <w:tab w:val="num" w:pos="1440"/>
        </w:tabs>
        <w:ind w:left="1440" w:hanging="360"/>
      </w:pPr>
      <w:rPr>
        <w:rFonts w:ascii="Arial" w:hAnsi="Arial" w:hint="default"/>
      </w:rPr>
    </w:lvl>
    <w:lvl w:ilvl="2" w:tplc="85826830" w:tentative="1">
      <w:start w:val="1"/>
      <w:numFmt w:val="bullet"/>
      <w:lvlText w:val="•"/>
      <w:lvlJc w:val="left"/>
      <w:pPr>
        <w:tabs>
          <w:tab w:val="num" w:pos="2160"/>
        </w:tabs>
        <w:ind w:left="2160" w:hanging="360"/>
      </w:pPr>
      <w:rPr>
        <w:rFonts w:ascii="Arial" w:hAnsi="Arial" w:hint="default"/>
      </w:rPr>
    </w:lvl>
    <w:lvl w:ilvl="3" w:tplc="8B12D32E" w:tentative="1">
      <w:start w:val="1"/>
      <w:numFmt w:val="bullet"/>
      <w:lvlText w:val="•"/>
      <w:lvlJc w:val="left"/>
      <w:pPr>
        <w:tabs>
          <w:tab w:val="num" w:pos="2880"/>
        </w:tabs>
        <w:ind w:left="2880" w:hanging="360"/>
      </w:pPr>
      <w:rPr>
        <w:rFonts w:ascii="Arial" w:hAnsi="Arial" w:hint="default"/>
      </w:rPr>
    </w:lvl>
    <w:lvl w:ilvl="4" w:tplc="095A3566" w:tentative="1">
      <w:start w:val="1"/>
      <w:numFmt w:val="bullet"/>
      <w:lvlText w:val="•"/>
      <w:lvlJc w:val="left"/>
      <w:pPr>
        <w:tabs>
          <w:tab w:val="num" w:pos="3600"/>
        </w:tabs>
        <w:ind w:left="3600" w:hanging="360"/>
      </w:pPr>
      <w:rPr>
        <w:rFonts w:ascii="Arial" w:hAnsi="Arial" w:hint="default"/>
      </w:rPr>
    </w:lvl>
    <w:lvl w:ilvl="5" w:tplc="E96C5DAE" w:tentative="1">
      <w:start w:val="1"/>
      <w:numFmt w:val="bullet"/>
      <w:lvlText w:val="•"/>
      <w:lvlJc w:val="left"/>
      <w:pPr>
        <w:tabs>
          <w:tab w:val="num" w:pos="4320"/>
        </w:tabs>
        <w:ind w:left="4320" w:hanging="360"/>
      </w:pPr>
      <w:rPr>
        <w:rFonts w:ascii="Arial" w:hAnsi="Arial" w:hint="default"/>
      </w:rPr>
    </w:lvl>
    <w:lvl w:ilvl="6" w:tplc="61624C42" w:tentative="1">
      <w:start w:val="1"/>
      <w:numFmt w:val="bullet"/>
      <w:lvlText w:val="•"/>
      <w:lvlJc w:val="left"/>
      <w:pPr>
        <w:tabs>
          <w:tab w:val="num" w:pos="5040"/>
        </w:tabs>
        <w:ind w:left="5040" w:hanging="360"/>
      </w:pPr>
      <w:rPr>
        <w:rFonts w:ascii="Arial" w:hAnsi="Arial" w:hint="default"/>
      </w:rPr>
    </w:lvl>
    <w:lvl w:ilvl="7" w:tplc="D32E35F6" w:tentative="1">
      <w:start w:val="1"/>
      <w:numFmt w:val="bullet"/>
      <w:lvlText w:val="•"/>
      <w:lvlJc w:val="left"/>
      <w:pPr>
        <w:tabs>
          <w:tab w:val="num" w:pos="5760"/>
        </w:tabs>
        <w:ind w:left="5760" w:hanging="360"/>
      </w:pPr>
      <w:rPr>
        <w:rFonts w:ascii="Arial" w:hAnsi="Arial" w:hint="default"/>
      </w:rPr>
    </w:lvl>
    <w:lvl w:ilvl="8" w:tplc="9AD8FC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1C213B"/>
    <w:multiLevelType w:val="hybridMultilevel"/>
    <w:tmpl w:val="3F32CBF2"/>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3" w15:restartNumberingAfterBreak="0">
    <w:nsid w:val="21172544"/>
    <w:multiLevelType w:val="hybridMultilevel"/>
    <w:tmpl w:val="6E9833FA"/>
    <w:lvl w:ilvl="0" w:tplc="ED8E0628">
      <w:start w:val="1"/>
      <w:numFmt w:val="bullet"/>
      <w:lvlText w:val="-"/>
      <w:lvlJc w:val="left"/>
      <w:pPr>
        <w:ind w:left="1080" w:hanging="360"/>
      </w:pPr>
      <w:rPr>
        <w:rFonts w:ascii="gobCL" w:eastAsiaTheme="minorHAnsi" w:hAnsi="gobC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4BB51B8C"/>
    <w:multiLevelType w:val="hybridMultilevel"/>
    <w:tmpl w:val="07524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CC01F77"/>
    <w:multiLevelType w:val="hybridMultilevel"/>
    <w:tmpl w:val="06C048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4697B05"/>
    <w:multiLevelType w:val="hybridMultilevel"/>
    <w:tmpl w:val="5F2CAF98"/>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7" w15:restartNumberingAfterBreak="0">
    <w:nsid w:val="680D7CDE"/>
    <w:multiLevelType w:val="hybridMultilevel"/>
    <w:tmpl w:val="3FC84B90"/>
    <w:lvl w:ilvl="0" w:tplc="62B6603A">
      <w:start w:val="1"/>
      <w:numFmt w:val="bullet"/>
      <w:lvlText w:val="•"/>
      <w:lvlJc w:val="left"/>
      <w:pPr>
        <w:tabs>
          <w:tab w:val="num" w:pos="720"/>
        </w:tabs>
        <w:ind w:left="720" w:hanging="360"/>
      </w:pPr>
      <w:rPr>
        <w:rFonts w:ascii="Arial" w:hAnsi="Arial" w:hint="default"/>
      </w:rPr>
    </w:lvl>
    <w:lvl w:ilvl="1" w:tplc="E96C695C" w:tentative="1">
      <w:start w:val="1"/>
      <w:numFmt w:val="bullet"/>
      <w:lvlText w:val="•"/>
      <w:lvlJc w:val="left"/>
      <w:pPr>
        <w:tabs>
          <w:tab w:val="num" w:pos="1440"/>
        </w:tabs>
        <w:ind w:left="1440" w:hanging="360"/>
      </w:pPr>
      <w:rPr>
        <w:rFonts w:ascii="Arial" w:hAnsi="Arial" w:hint="default"/>
      </w:rPr>
    </w:lvl>
    <w:lvl w:ilvl="2" w:tplc="77E4E550" w:tentative="1">
      <w:start w:val="1"/>
      <w:numFmt w:val="bullet"/>
      <w:lvlText w:val="•"/>
      <w:lvlJc w:val="left"/>
      <w:pPr>
        <w:tabs>
          <w:tab w:val="num" w:pos="2160"/>
        </w:tabs>
        <w:ind w:left="2160" w:hanging="360"/>
      </w:pPr>
      <w:rPr>
        <w:rFonts w:ascii="Arial" w:hAnsi="Arial" w:hint="default"/>
      </w:rPr>
    </w:lvl>
    <w:lvl w:ilvl="3" w:tplc="F34EB334" w:tentative="1">
      <w:start w:val="1"/>
      <w:numFmt w:val="bullet"/>
      <w:lvlText w:val="•"/>
      <w:lvlJc w:val="left"/>
      <w:pPr>
        <w:tabs>
          <w:tab w:val="num" w:pos="2880"/>
        </w:tabs>
        <w:ind w:left="2880" w:hanging="360"/>
      </w:pPr>
      <w:rPr>
        <w:rFonts w:ascii="Arial" w:hAnsi="Arial" w:hint="default"/>
      </w:rPr>
    </w:lvl>
    <w:lvl w:ilvl="4" w:tplc="87EE5E1E" w:tentative="1">
      <w:start w:val="1"/>
      <w:numFmt w:val="bullet"/>
      <w:lvlText w:val="•"/>
      <w:lvlJc w:val="left"/>
      <w:pPr>
        <w:tabs>
          <w:tab w:val="num" w:pos="3600"/>
        </w:tabs>
        <w:ind w:left="3600" w:hanging="360"/>
      </w:pPr>
      <w:rPr>
        <w:rFonts w:ascii="Arial" w:hAnsi="Arial" w:hint="default"/>
      </w:rPr>
    </w:lvl>
    <w:lvl w:ilvl="5" w:tplc="1F042104" w:tentative="1">
      <w:start w:val="1"/>
      <w:numFmt w:val="bullet"/>
      <w:lvlText w:val="•"/>
      <w:lvlJc w:val="left"/>
      <w:pPr>
        <w:tabs>
          <w:tab w:val="num" w:pos="4320"/>
        </w:tabs>
        <w:ind w:left="4320" w:hanging="360"/>
      </w:pPr>
      <w:rPr>
        <w:rFonts w:ascii="Arial" w:hAnsi="Arial" w:hint="default"/>
      </w:rPr>
    </w:lvl>
    <w:lvl w:ilvl="6" w:tplc="E1702B14" w:tentative="1">
      <w:start w:val="1"/>
      <w:numFmt w:val="bullet"/>
      <w:lvlText w:val="•"/>
      <w:lvlJc w:val="left"/>
      <w:pPr>
        <w:tabs>
          <w:tab w:val="num" w:pos="5040"/>
        </w:tabs>
        <w:ind w:left="5040" w:hanging="360"/>
      </w:pPr>
      <w:rPr>
        <w:rFonts w:ascii="Arial" w:hAnsi="Arial" w:hint="default"/>
      </w:rPr>
    </w:lvl>
    <w:lvl w:ilvl="7" w:tplc="0FBCF02C" w:tentative="1">
      <w:start w:val="1"/>
      <w:numFmt w:val="bullet"/>
      <w:lvlText w:val="•"/>
      <w:lvlJc w:val="left"/>
      <w:pPr>
        <w:tabs>
          <w:tab w:val="num" w:pos="5760"/>
        </w:tabs>
        <w:ind w:left="5760" w:hanging="360"/>
      </w:pPr>
      <w:rPr>
        <w:rFonts w:ascii="Arial" w:hAnsi="Arial" w:hint="default"/>
      </w:rPr>
    </w:lvl>
    <w:lvl w:ilvl="8" w:tplc="58008C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92218F7"/>
    <w:multiLevelType w:val="hybridMultilevel"/>
    <w:tmpl w:val="CD54CD9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A7817C2"/>
    <w:multiLevelType w:val="hybridMultilevel"/>
    <w:tmpl w:val="2AE6FD3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061902079">
    <w:abstractNumId w:val="4"/>
  </w:num>
  <w:num w:numId="2" w16cid:durableId="1070494904">
    <w:abstractNumId w:val="0"/>
  </w:num>
  <w:num w:numId="3" w16cid:durableId="347878789">
    <w:abstractNumId w:val="9"/>
  </w:num>
  <w:num w:numId="4" w16cid:durableId="1319262207">
    <w:abstractNumId w:val="1"/>
  </w:num>
  <w:num w:numId="5" w16cid:durableId="620961569">
    <w:abstractNumId w:val="8"/>
  </w:num>
  <w:num w:numId="6" w16cid:durableId="1254894915">
    <w:abstractNumId w:val="7"/>
  </w:num>
  <w:num w:numId="7" w16cid:durableId="1965430562">
    <w:abstractNumId w:val="2"/>
  </w:num>
  <w:num w:numId="8" w16cid:durableId="219754668">
    <w:abstractNumId w:val="5"/>
  </w:num>
  <w:num w:numId="9" w16cid:durableId="309216590">
    <w:abstractNumId w:val="3"/>
  </w:num>
  <w:num w:numId="10" w16cid:durableId="7380967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B"/>
    <w:rsid w:val="000040A7"/>
    <w:rsid w:val="0000752F"/>
    <w:rsid w:val="00020FC6"/>
    <w:rsid w:val="00022F1F"/>
    <w:rsid w:val="00023891"/>
    <w:rsid w:val="00023BD6"/>
    <w:rsid w:val="00027DC2"/>
    <w:rsid w:val="000316FB"/>
    <w:rsid w:val="0003716A"/>
    <w:rsid w:val="000375F6"/>
    <w:rsid w:val="00050FFF"/>
    <w:rsid w:val="00052ABC"/>
    <w:rsid w:val="00061226"/>
    <w:rsid w:val="00062CED"/>
    <w:rsid w:val="00066C2A"/>
    <w:rsid w:val="0007264C"/>
    <w:rsid w:val="00072A93"/>
    <w:rsid w:val="000920E0"/>
    <w:rsid w:val="000921BF"/>
    <w:rsid w:val="000A39CE"/>
    <w:rsid w:val="000A7115"/>
    <w:rsid w:val="000B074D"/>
    <w:rsid w:val="000C7466"/>
    <w:rsid w:val="000E7025"/>
    <w:rsid w:val="000F0DCC"/>
    <w:rsid w:val="00102AA2"/>
    <w:rsid w:val="001126C9"/>
    <w:rsid w:val="00114BF1"/>
    <w:rsid w:val="001230B1"/>
    <w:rsid w:val="00126328"/>
    <w:rsid w:val="001272FE"/>
    <w:rsid w:val="00127834"/>
    <w:rsid w:val="00127C51"/>
    <w:rsid w:val="001308B0"/>
    <w:rsid w:val="00142DFC"/>
    <w:rsid w:val="0014447B"/>
    <w:rsid w:val="00146744"/>
    <w:rsid w:val="00147820"/>
    <w:rsid w:val="00157DB6"/>
    <w:rsid w:val="00163B2A"/>
    <w:rsid w:val="00164605"/>
    <w:rsid w:val="0018171A"/>
    <w:rsid w:val="00185877"/>
    <w:rsid w:val="00192BCC"/>
    <w:rsid w:val="00193E3D"/>
    <w:rsid w:val="00195150"/>
    <w:rsid w:val="001C4A5F"/>
    <w:rsid w:val="001D49BC"/>
    <w:rsid w:val="001E4E73"/>
    <w:rsid w:val="001F0A86"/>
    <w:rsid w:val="00200914"/>
    <w:rsid w:val="00207248"/>
    <w:rsid w:val="002256E3"/>
    <w:rsid w:val="002328CA"/>
    <w:rsid w:val="00245E3E"/>
    <w:rsid w:val="002516D2"/>
    <w:rsid w:val="002550CE"/>
    <w:rsid w:val="0025599C"/>
    <w:rsid w:val="00260402"/>
    <w:rsid w:val="00262CD1"/>
    <w:rsid w:val="00264402"/>
    <w:rsid w:val="002656DA"/>
    <w:rsid w:val="00270BFC"/>
    <w:rsid w:val="002749F6"/>
    <w:rsid w:val="00275AE7"/>
    <w:rsid w:val="00275B64"/>
    <w:rsid w:val="00280F55"/>
    <w:rsid w:val="00281726"/>
    <w:rsid w:val="00281A9C"/>
    <w:rsid w:val="002820FB"/>
    <w:rsid w:val="00283A72"/>
    <w:rsid w:val="00291BE0"/>
    <w:rsid w:val="002968BF"/>
    <w:rsid w:val="0029743F"/>
    <w:rsid w:val="002A2C8B"/>
    <w:rsid w:val="002B0BDF"/>
    <w:rsid w:val="002B355D"/>
    <w:rsid w:val="002B5C9D"/>
    <w:rsid w:val="002C518A"/>
    <w:rsid w:val="002C540C"/>
    <w:rsid w:val="002E0EDF"/>
    <w:rsid w:val="002F5215"/>
    <w:rsid w:val="00310767"/>
    <w:rsid w:val="003173D1"/>
    <w:rsid w:val="00325BF2"/>
    <w:rsid w:val="003277E6"/>
    <w:rsid w:val="00335E7F"/>
    <w:rsid w:val="00336A04"/>
    <w:rsid w:val="003417E6"/>
    <w:rsid w:val="00350A2D"/>
    <w:rsid w:val="00352C84"/>
    <w:rsid w:val="00355B55"/>
    <w:rsid w:val="0036664C"/>
    <w:rsid w:val="00375253"/>
    <w:rsid w:val="003766A6"/>
    <w:rsid w:val="003800F2"/>
    <w:rsid w:val="0038262A"/>
    <w:rsid w:val="00385ED9"/>
    <w:rsid w:val="003A787A"/>
    <w:rsid w:val="003B03B0"/>
    <w:rsid w:val="003D10FB"/>
    <w:rsid w:val="003D41E7"/>
    <w:rsid w:val="003E1DB8"/>
    <w:rsid w:val="003E7C50"/>
    <w:rsid w:val="003F36F7"/>
    <w:rsid w:val="003F42F2"/>
    <w:rsid w:val="003F4B49"/>
    <w:rsid w:val="003F6EDD"/>
    <w:rsid w:val="00400596"/>
    <w:rsid w:val="004013F8"/>
    <w:rsid w:val="00415942"/>
    <w:rsid w:val="00420F87"/>
    <w:rsid w:val="004249C2"/>
    <w:rsid w:val="0042628C"/>
    <w:rsid w:val="004346B2"/>
    <w:rsid w:val="00450D09"/>
    <w:rsid w:val="004521C6"/>
    <w:rsid w:val="004529E1"/>
    <w:rsid w:val="00472209"/>
    <w:rsid w:val="00476173"/>
    <w:rsid w:val="00482976"/>
    <w:rsid w:val="004B4AEC"/>
    <w:rsid w:val="004B549E"/>
    <w:rsid w:val="004B5CD4"/>
    <w:rsid w:val="004B78E3"/>
    <w:rsid w:val="004C14B4"/>
    <w:rsid w:val="004C3FB4"/>
    <w:rsid w:val="004D1999"/>
    <w:rsid w:val="004D2E6C"/>
    <w:rsid w:val="004D2F61"/>
    <w:rsid w:val="004E363D"/>
    <w:rsid w:val="004E36BE"/>
    <w:rsid w:val="004E52D2"/>
    <w:rsid w:val="004F7D3C"/>
    <w:rsid w:val="00504AD1"/>
    <w:rsid w:val="00511CC9"/>
    <w:rsid w:val="00516D9D"/>
    <w:rsid w:val="005177A7"/>
    <w:rsid w:val="00520F1B"/>
    <w:rsid w:val="0052449B"/>
    <w:rsid w:val="00536003"/>
    <w:rsid w:val="00541CB4"/>
    <w:rsid w:val="00542D0C"/>
    <w:rsid w:val="00543775"/>
    <w:rsid w:val="00553949"/>
    <w:rsid w:val="00560385"/>
    <w:rsid w:val="00560B80"/>
    <w:rsid w:val="0056119B"/>
    <w:rsid w:val="00562280"/>
    <w:rsid w:val="005728CC"/>
    <w:rsid w:val="00573FAB"/>
    <w:rsid w:val="0058219B"/>
    <w:rsid w:val="00587B32"/>
    <w:rsid w:val="00591A8E"/>
    <w:rsid w:val="00596B7C"/>
    <w:rsid w:val="0059746F"/>
    <w:rsid w:val="005A07F8"/>
    <w:rsid w:val="005A2155"/>
    <w:rsid w:val="005A33C1"/>
    <w:rsid w:val="005A5F08"/>
    <w:rsid w:val="005B3C4B"/>
    <w:rsid w:val="005B6C92"/>
    <w:rsid w:val="005B7E6B"/>
    <w:rsid w:val="005C0E7F"/>
    <w:rsid w:val="005C2385"/>
    <w:rsid w:val="005C7F27"/>
    <w:rsid w:val="005D1696"/>
    <w:rsid w:val="005D17A5"/>
    <w:rsid w:val="005D7D22"/>
    <w:rsid w:val="005E1206"/>
    <w:rsid w:val="005E58CE"/>
    <w:rsid w:val="005F15DF"/>
    <w:rsid w:val="005F2383"/>
    <w:rsid w:val="005F3A5F"/>
    <w:rsid w:val="005F5365"/>
    <w:rsid w:val="005F587D"/>
    <w:rsid w:val="00604A0C"/>
    <w:rsid w:val="00604A76"/>
    <w:rsid w:val="00610221"/>
    <w:rsid w:val="00614675"/>
    <w:rsid w:val="00615000"/>
    <w:rsid w:val="00616106"/>
    <w:rsid w:val="00616C67"/>
    <w:rsid w:val="006214F1"/>
    <w:rsid w:val="00634CBE"/>
    <w:rsid w:val="00635343"/>
    <w:rsid w:val="00655975"/>
    <w:rsid w:val="0067122C"/>
    <w:rsid w:val="006758F9"/>
    <w:rsid w:val="0067705A"/>
    <w:rsid w:val="00683D15"/>
    <w:rsid w:val="00690E33"/>
    <w:rsid w:val="006A0E37"/>
    <w:rsid w:val="006C27E4"/>
    <w:rsid w:val="006C6A7A"/>
    <w:rsid w:val="006D193C"/>
    <w:rsid w:val="006D4418"/>
    <w:rsid w:val="006D5804"/>
    <w:rsid w:val="006E0D6F"/>
    <w:rsid w:val="006E205A"/>
    <w:rsid w:val="006F2A6E"/>
    <w:rsid w:val="006F5A67"/>
    <w:rsid w:val="0070305A"/>
    <w:rsid w:val="007033AB"/>
    <w:rsid w:val="0071329A"/>
    <w:rsid w:val="00721DB8"/>
    <w:rsid w:val="0072430E"/>
    <w:rsid w:val="00727A22"/>
    <w:rsid w:val="00731D6C"/>
    <w:rsid w:val="00735FCC"/>
    <w:rsid w:val="00742A61"/>
    <w:rsid w:val="0074597F"/>
    <w:rsid w:val="00747F7A"/>
    <w:rsid w:val="00755F50"/>
    <w:rsid w:val="00757AA9"/>
    <w:rsid w:val="00757BE6"/>
    <w:rsid w:val="00762271"/>
    <w:rsid w:val="0076252E"/>
    <w:rsid w:val="00762BCA"/>
    <w:rsid w:val="007650DF"/>
    <w:rsid w:val="00772451"/>
    <w:rsid w:val="00775281"/>
    <w:rsid w:val="00775EB8"/>
    <w:rsid w:val="00793DAF"/>
    <w:rsid w:val="00797FE1"/>
    <w:rsid w:val="007A020A"/>
    <w:rsid w:val="007A208E"/>
    <w:rsid w:val="007A3587"/>
    <w:rsid w:val="007A4DEA"/>
    <w:rsid w:val="007A7289"/>
    <w:rsid w:val="007B3842"/>
    <w:rsid w:val="007B72D0"/>
    <w:rsid w:val="007D4DE3"/>
    <w:rsid w:val="007D75CF"/>
    <w:rsid w:val="007E1135"/>
    <w:rsid w:val="007E2B9B"/>
    <w:rsid w:val="007E4A41"/>
    <w:rsid w:val="007E5AA2"/>
    <w:rsid w:val="007E671E"/>
    <w:rsid w:val="007F078D"/>
    <w:rsid w:val="007F1D8C"/>
    <w:rsid w:val="007F2B0D"/>
    <w:rsid w:val="0080084F"/>
    <w:rsid w:val="00813026"/>
    <w:rsid w:val="0081569C"/>
    <w:rsid w:val="00815A7E"/>
    <w:rsid w:val="00821369"/>
    <w:rsid w:val="008325EC"/>
    <w:rsid w:val="0083544D"/>
    <w:rsid w:val="00835DBA"/>
    <w:rsid w:val="00837104"/>
    <w:rsid w:val="00840006"/>
    <w:rsid w:val="00847846"/>
    <w:rsid w:val="00850B5B"/>
    <w:rsid w:val="008540E0"/>
    <w:rsid w:val="008651BE"/>
    <w:rsid w:val="008837F1"/>
    <w:rsid w:val="00883914"/>
    <w:rsid w:val="008941B0"/>
    <w:rsid w:val="008953F5"/>
    <w:rsid w:val="008A01BA"/>
    <w:rsid w:val="008A2556"/>
    <w:rsid w:val="008A2B4A"/>
    <w:rsid w:val="008B424D"/>
    <w:rsid w:val="008B68A3"/>
    <w:rsid w:val="008D431E"/>
    <w:rsid w:val="008E5EEA"/>
    <w:rsid w:val="008E722F"/>
    <w:rsid w:val="008F3C2F"/>
    <w:rsid w:val="0092088C"/>
    <w:rsid w:val="00922C67"/>
    <w:rsid w:val="0092303B"/>
    <w:rsid w:val="00925A2A"/>
    <w:rsid w:val="00927AA4"/>
    <w:rsid w:val="00927D24"/>
    <w:rsid w:val="00927E69"/>
    <w:rsid w:val="00932B6A"/>
    <w:rsid w:val="00957982"/>
    <w:rsid w:val="00962FDA"/>
    <w:rsid w:val="0096673B"/>
    <w:rsid w:val="009712BF"/>
    <w:rsid w:val="009757B1"/>
    <w:rsid w:val="00985143"/>
    <w:rsid w:val="00985D50"/>
    <w:rsid w:val="00990D39"/>
    <w:rsid w:val="0099652F"/>
    <w:rsid w:val="009B10CF"/>
    <w:rsid w:val="009C4CB2"/>
    <w:rsid w:val="009D0577"/>
    <w:rsid w:val="009D39EA"/>
    <w:rsid w:val="009D7E4F"/>
    <w:rsid w:val="009E5F40"/>
    <w:rsid w:val="009E6481"/>
    <w:rsid w:val="009E723E"/>
    <w:rsid w:val="009F16D3"/>
    <w:rsid w:val="009F43DE"/>
    <w:rsid w:val="00A02A0E"/>
    <w:rsid w:val="00A02B91"/>
    <w:rsid w:val="00A171A2"/>
    <w:rsid w:val="00A22FA2"/>
    <w:rsid w:val="00A264B2"/>
    <w:rsid w:val="00A40731"/>
    <w:rsid w:val="00A409B2"/>
    <w:rsid w:val="00A45EE4"/>
    <w:rsid w:val="00A5420F"/>
    <w:rsid w:val="00A568EA"/>
    <w:rsid w:val="00A700E7"/>
    <w:rsid w:val="00A72E7D"/>
    <w:rsid w:val="00A82892"/>
    <w:rsid w:val="00A855D7"/>
    <w:rsid w:val="00A8705D"/>
    <w:rsid w:val="00A87E65"/>
    <w:rsid w:val="00A948B3"/>
    <w:rsid w:val="00A95B18"/>
    <w:rsid w:val="00AB41B2"/>
    <w:rsid w:val="00AB5857"/>
    <w:rsid w:val="00AC4071"/>
    <w:rsid w:val="00AC584F"/>
    <w:rsid w:val="00AE47A2"/>
    <w:rsid w:val="00AF4F4E"/>
    <w:rsid w:val="00B0067D"/>
    <w:rsid w:val="00B054DE"/>
    <w:rsid w:val="00B16F0B"/>
    <w:rsid w:val="00B2080A"/>
    <w:rsid w:val="00B208A0"/>
    <w:rsid w:val="00B34268"/>
    <w:rsid w:val="00B361C8"/>
    <w:rsid w:val="00B477C7"/>
    <w:rsid w:val="00B477C8"/>
    <w:rsid w:val="00B515CB"/>
    <w:rsid w:val="00B52453"/>
    <w:rsid w:val="00B524CA"/>
    <w:rsid w:val="00B5587B"/>
    <w:rsid w:val="00B57C57"/>
    <w:rsid w:val="00B57C73"/>
    <w:rsid w:val="00B626A6"/>
    <w:rsid w:val="00B66C74"/>
    <w:rsid w:val="00B7500A"/>
    <w:rsid w:val="00B756F2"/>
    <w:rsid w:val="00B77EF4"/>
    <w:rsid w:val="00B844E4"/>
    <w:rsid w:val="00B933F4"/>
    <w:rsid w:val="00BA44AD"/>
    <w:rsid w:val="00BB4012"/>
    <w:rsid w:val="00BB63A3"/>
    <w:rsid w:val="00BC35F2"/>
    <w:rsid w:val="00BC6111"/>
    <w:rsid w:val="00BC799A"/>
    <w:rsid w:val="00BE0C5F"/>
    <w:rsid w:val="00BF0B4A"/>
    <w:rsid w:val="00BF1C98"/>
    <w:rsid w:val="00BF2A05"/>
    <w:rsid w:val="00BF6F9A"/>
    <w:rsid w:val="00C00143"/>
    <w:rsid w:val="00C07409"/>
    <w:rsid w:val="00C10974"/>
    <w:rsid w:val="00C10B7E"/>
    <w:rsid w:val="00C17FE6"/>
    <w:rsid w:val="00C26AF1"/>
    <w:rsid w:val="00C277FD"/>
    <w:rsid w:val="00C4408B"/>
    <w:rsid w:val="00C538E6"/>
    <w:rsid w:val="00C65567"/>
    <w:rsid w:val="00C719E7"/>
    <w:rsid w:val="00C845C8"/>
    <w:rsid w:val="00CA14EA"/>
    <w:rsid w:val="00CA514F"/>
    <w:rsid w:val="00CA5D43"/>
    <w:rsid w:val="00CA798B"/>
    <w:rsid w:val="00CC1271"/>
    <w:rsid w:val="00CC52E0"/>
    <w:rsid w:val="00CF7BA2"/>
    <w:rsid w:val="00D020B1"/>
    <w:rsid w:val="00D13797"/>
    <w:rsid w:val="00D16070"/>
    <w:rsid w:val="00D27713"/>
    <w:rsid w:val="00D31642"/>
    <w:rsid w:val="00D32D1C"/>
    <w:rsid w:val="00D34AEF"/>
    <w:rsid w:val="00D379E6"/>
    <w:rsid w:val="00D41137"/>
    <w:rsid w:val="00D52AC0"/>
    <w:rsid w:val="00D65078"/>
    <w:rsid w:val="00D72655"/>
    <w:rsid w:val="00D72862"/>
    <w:rsid w:val="00D9740D"/>
    <w:rsid w:val="00DA6A10"/>
    <w:rsid w:val="00DC53BF"/>
    <w:rsid w:val="00DD2642"/>
    <w:rsid w:val="00DD2977"/>
    <w:rsid w:val="00DE14A2"/>
    <w:rsid w:val="00DE196A"/>
    <w:rsid w:val="00DF2025"/>
    <w:rsid w:val="00E03A17"/>
    <w:rsid w:val="00E06AF3"/>
    <w:rsid w:val="00E16507"/>
    <w:rsid w:val="00E20C0C"/>
    <w:rsid w:val="00E2404D"/>
    <w:rsid w:val="00E26007"/>
    <w:rsid w:val="00E27B58"/>
    <w:rsid w:val="00E303BA"/>
    <w:rsid w:val="00E42789"/>
    <w:rsid w:val="00E514B1"/>
    <w:rsid w:val="00E53E01"/>
    <w:rsid w:val="00E54A0A"/>
    <w:rsid w:val="00E60432"/>
    <w:rsid w:val="00E70525"/>
    <w:rsid w:val="00E7797D"/>
    <w:rsid w:val="00E848EF"/>
    <w:rsid w:val="00E8666B"/>
    <w:rsid w:val="00E90137"/>
    <w:rsid w:val="00E94257"/>
    <w:rsid w:val="00EA1C20"/>
    <w:rsid w:val="00EA65C4"/>
    <w:rsid w:val="00EE247B"/>
    <w:rsid w:val="00EE4540"/>
    <w:rsid w:val="00EF4777"/>
    <w:rsid w:val="00F02461"/>
    <w:rsid w:val="00F06FD0"/>
    <w:rsid w:val="00F07985"/>
    <w:rsid w:val="00F12857"/>
    <w:rsid w:val="00F14B4D"/>
    <w:rsid w:val="00F20248"/>
    <w:rsid w:val="00F25DB3"/>
    <w:rsid w:val="00F31FC6"/>
    <w:rsid w:val="00F501BA"/>
    <w:rsid w:val="00F57D7F"/>
    <w:rsid w:val="00F62529"/>
    <w:rsid w:val="00F65531"/>
    <w:rsid w:val="00F73BAA"/>
    <w:rsid w:val="00F8472A"/>
    <w:rsid w:val="00F8600E"/>
    <w:rsid w:val="00F86E34"/>
    <w:rsid w:val="00F95C20"/>
    <w:rsid w:val="00F96987"/>
    <w:rsid w:val="00F9745F"/>
    <w:rsid w:val="00FA52B9"/>
    <w:rsid w:val="00FB3D7C"/>
    <w:rsid w:val="00FC004E"/>
    <w:rsid w:val="00FC40AE"/>
    <w:rsid w:val="00FE0F9B"/>
    <w:rsid w:val="00FE2C0E"/>
    <w:rsid w:val="00FE35D3"/>
    <w:rsid w:val="00FE4630"/>
    <w:rsid w:val="00FE470B"/>
    <w:rsid w:val="00FE634C"/>
    <w:rsid w:val="00FE6F1D"/>
    <w:rsid w:val="00FF491A"/>
    <w:rsid w:val="00FF5D29"/>
    <w:rsid w:val="00FF76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98967"/>
  <w15:chartTrackingRefBased/>
  <w15:docId w15:val="{417F5B8E-5C63-B040-87C1-69666193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16F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16F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16F0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16F0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16F0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16F0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16F0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16F0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16F0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6F0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16F0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16F0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16F0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16F0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16F0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16F0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16F0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16F0B"/>
    <w:rPr>
      <w:rFonts w:eastAsiaTheme="majorEastAsia" w:cstheme="majorBidi"/>
      <w:color w:val="272727" w:themeColor="text1" w:themeTint="D8"/>
    </w:rPr>
  </w:style>
  <w:style w:type="paragraph" w:styleId="Ttulo">
    <w:name w:val="Title"/>
    <w:basedOn w:val="Normal"/>
    <w:next w:val="Normal"/>
    <w:link w:val="TtuloCar"/>
    <w:uiPriority w:val="10"/>
    <w:qFormat/>
    <w:rsid w:val="00B16F0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16F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16F0B"/>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16F0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16F0B"/>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16F0B"/>
    <w:rPr>
      <w:i/>
      <w:iCs/>
      <w:color w:val="404040" w:themeColor="text1" w:themeTint="BF"/>
    </w:rPr>
  </w:style>
  <w:style w:type="paragraph" w:styleId="Prrafodelista">
    <w:name w:val="List Paragraph"/>
    <w:basedOn w:val="Normal"/>
    <w:uiPriority w:val="34"/>
    <w:qFormat/>
    <w:rsid w:val="00B16F0B"/>
    <w:pPr>
      <w:ind w:left="720"/>
      <w:contextualSpacing/>
    </w:pPr>
  </w:style>
  <w:style w:type="character" w:styleId="nfasisintenso">
    <w:name w:val="Intense Emphasis"/>
    <w:basedOn w:val="Fuentedeprrafopredeter"/>
    <w:uiPriority w:val="21"/>
    <w:qFormat/>
    <w:rsid w:val="00B16F0B"/>
    <w:rPr>
      <w:i/>
      <w:iCs/>
      <w:color w:val="2F5496" w:themeColor="accent1" w:themeShade="BF"/>
    </w:rPr>
  </w:style>
  <w:style w:type="paragraph" w:styleId="Citadestacada">
    <w:name w:val="Intense Quote"/>
    <w:basedOn w:val="Normal"/>
    <w:next w:val="Normal"/>
    <w:link w:val="CitadestacadaCar"/>
    <w:uiPriority w:val="30"/>
    <w:qFormat/>
    <w:rsid w:val="00B16F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16F0B"/>
    <w:rPr>
      <w:i/>
      <w:iCs/>
      <w:color w:val="2F5496" w:themeColor="accent1" w:themeShade="BF"/>
    </w:rPr>
  </w:style>
  <w:style w:type="character" w:styleId="Referenciaintensa">
    <w:name w:val="Intense Reference"/>
    <w:basedOn w:val="Fuentedeprrafopredeter"/>
    <w:uiPriority w:val="32"/>
    <w:qFormat/>
    <w:rsid w:val="00B16F0B"/>
    <w:rPr>
      <w:b/>
      <w:bCs/>
      <w:smallCaps/>
      <w:color w:val="2F5496" w:themeColor="accent1" w:themeShade="BF"/>
      <w:spacing w:val="5"/>
    </w:rPr>
  </w:style>
  <w:style w:type="paragraph" w:styleId="Encabezado">
    <w:name w:val="header"/>
    <w:basedOn w:val="Normal"/>
    <w:link w:val="EncabezadoCar"/>
    <w:uiPriority w:val="99"/>
    <w:unhideWhenUsed/>
    <w:rsid w:val="00B16F0B"/>
    <w:pPr>
      <w:tabs>
        <w:tab w:val="center" w:pos="4419"/>
        <w:tab w:val="right" w:pos="8838"/>
      </w:tabs>
    </w:pPr>
  </w:style>
  <w:style w:type="character" w:customStyle="1" w:styleId="EncabezadoCar">
    <w:name w:val="Encabezado Car"/>
    <w:basedOn w:val="Fuentedeprrafopredeter"/>
    <w:link w:val="Encabezado"/>
    <w:uiPriority w:val="99"/>
    <w:rsid w:val="00B16F0B"/>
  </w:style>
  <w:style w:type="paragraph" w:styleId="Piedepgina">
    <w:name w:val="footer"/>
    <w:basedOn w:val="Normal"/>
    <w:link w:val="PiedepginaCar"/>
    <w:uiPriority w:val="99"/>
    <w:unhideWhenUsed/>
    <w:rsid w:val="00B16F0B"/>
    <w:pPr>
      <w:tabs>
        <w:tab w:val="center" w:pos="4419"/>
        <w:tab w:val="right" w:pos="8838"/>
      </w:tabs>
    </w:pPr>
  </w:style>
  <w:style w:type="character" w:customStyle="1" w:styleId="PiedepginaCar">
    <w:name w:val="Pie de página Car"/>
    <w:basedOn w:val="Fuentedeprrafopredeter"/>
    <w:link w:val="Piedepgina"/>
    <w:uiPriority w:val="99"/>
    <w:rsid w:val="00B16F0B"/>
  </w:style>
  <w:style w:type="paragraph" w:styleId="Revisin">
    <w:name w:val="Revision"/>
    <w:hidden/>
    <w:uiPriority w:val="99"/>
    <w:semiHidden/>
    <w:rsid w:val="00336A04"/>
  </w:style>
  <w:style w:type="paragraph" w:styleId="Sangradetextonormal">
    <w:name w:val="Body Text Indent"/>
    <w:basedOn w:val="Normal"/>
    <w:link w:val="SangradetextonormalCar"/>
    <w:rsid w:val="006F5A67"/>
    <w:pPr>
      <w:tabs>
        <w:tab w:val="left" w:pos="3544"/>
      </w:tabs>
      <w:spacing w:before="240" w:after="120"/>
      <w:jc w:val="both"/>
    </w:pPr>
    <w:rPr>
      <w:rFonts w:ascii="Courier New" w:eastAsia="Times New Roman" w:hAnsi="Courier New" w:cs="Times New Roman"/>
      <w:spacing w:val="-3"/>
      <w:kern w:val="0"/>
      <w:szCs w:val="20"/>
      <w:lang w:val="es-ES_tradnl" w:eastAsia="es-ES"/>
      <w14:ligatures w14:val="none"/>
    </w:rPr>
  </w:style>
  <w:style w:type="character" w:customStyle="1" w:styleId="SangradetextonormalCar">
    <w:name w:val="Sangría de texto normal Car"/>
    <w:basedOn w:val="Fuentedeprrafopredeter"/>
    <w:link w:val="Sangradetextonormal"/>
    <w:rsid w:val="006F5A67"/>
    <w:rPr>
      <w:rFonts w:ascii="Courier New" w:eastAsia="Times New Roman" w:hAnsi="Courier New" w:cs="Times New Roman"/>
      <w:spacing w:val="-3"/>
      <w:kern w:val="0"/>
      <w:szCs w:val="20"/>
      <w:lang w:val="es-ES_tradnl" w:eastAsia="es-ES"/>
      <w14:ligatures w14:val="none"/>
    </w:rPr>
  </w:style>
  <w:style w:type="character" w:styleId="Refdecomentario">
    <w:name w:val="annotation reference"/>
    <w:basedOn w:val="Fuentedeprrafopredeter"/>
    <w:uiPriority w:val="99"/>
    <w:semiHidden/>
    <w:unhideWhenUsed/>
    <w:rsid w:val="007E671E"/>
    <w:rPr>
      <w:sz w:val="16"/>
      <w:szCs w:val="16"/>
    </w:rPr>
  </w:style>
  <w:style w:type="paragraph" w:styleId="Textocomentario">
    <w:name w:val="annotation text"/>
    <w:basedOn w:val="Normal"/>
    <w:link w:val="TextocomentarioCar"/>
    <w:uiPriority w:val="99"/>
    <w:unhideWhenUsed/>
    <w:rsid w:val="007E671E"/>
    <w:rPr>
      <w:sz w:val="20"/>
      <w:szCs w:val="20"/>
    </w:rPr>
  </w:style>
  <w:style w:type="character" w:customStyle="1" w:styleId="TextocomentarioCar">
    <w:name w:val="Texto comentario Car"/>
    <w:basedOn w:val="Fuentedeprrafopredeter"/>
    <w:link w:val="Textocomentario"/>
    <w:uiPriority w:val="99"/>
    <w:rsid w:val="007E671E"/>
    <w:rPr>
      <w:sz w:val="20"/>
      <w:szCs w:val="20"/>
    </w:rPr>
  </w:style>
  <w:style w:type="paragraph" w:styleId="Asuntodelcomentario">
    <w:name w:val="annotation subject"/>
    <w:basedOn w:val="Textocomentario"/>
    <w:next w:val="Textocomentario"/>
    <w:link w:val="AsuntodelcomentarioCar"/>
    <w:uiPriority w:val="99"/>
    <w:semiHidden/>
    <w:unhideWhenUsed/>
    <w:rsid w:val="007E671E"/>
    <w:rPr>
      <w:b/>
      <w:bCs/>
    </w:rPr>
  </w:style>
  <w:style w:type="character" w:customStyle="1" w:styleId="AsuntodelcomentarioCar">
    <w:name w:val="Asunto del comentario Car"/>
    <w:basedOn w:val="TextocomentarioCar"/>
    <w:link w:val="Asuntodelcomentario"/>
    <w:uiPriority w:val="99"/>
    <w:semiHidden/>
    <w:rsid w:val="007E671E"/>
    <w:rPr>
      <w:b/>
      <w:bCs/>
      <w:sz w:val="20"/>
      <w:szCs w:val="20"/>
    </w:rPr>
  </w:style>
  <w:style w:type="character" w:styleId="Hipervnculo">
    <w:name w:val="Hyperlink"/>
    <w:basedOn w:val="Fuentedeprrafopredeter"/>
    <w:uiPriority w:val="99"/>
    <w:unhideWhenUsed/>
    <w:rsid w:val="00CA5D43"/>
    <w:rPr>
      <w:color w:val="0563C1" w:themeColor="hyperlink"/>
      <w:u w:val="single"/>
    </w:rPr>
  </w:style>
  <w:style w:type="character" w:styleId="Mencinsinresolver">
    <w:name w:val="Unresolved Mention"/>
    <w:basedOn w:val="Fuentedeprrafopredeter"/>
    <w:uiPriority w:val="99"/>
    <w:semiHidden/>
    <w:unhideWhenUsed/>
    <w:rsid w:val="00CA5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79618">
      <w:bodyDiv w:val="1"/>
      <w:marLeft w:val="0"/>
      <w:marRight w:val="0"/>
      <w:marTop w:val="0"/>
      <w:marBottom w:val="0"/>
      <w:divBdr>
        <w:top w:val="none" w:sz="0" w:space="0" w:color="auto"/>
        <w:left w:val="none" w:sz="0" w:space="0" w:color="auto"/>
        <w:bottom w:val="none" w:sz="0" w:space="0" w:color="auto"/>
        <w:right w:val="none" w:sz="0" w:space="0" w:color="auto"/>
      </w:divBdr>
    </w:div>
    <w:div w:id="185220210">
      <w:bodyDiv w:val="1"/>
      <w:marLeft w:val="0"/>
      <w:marRight w:val="0"/>
      <w:marTop w:val="0"/>
      <w:marBottom w:val="0"/>
      <w:divBdr>
        <w:top w:val="none" w:sz="0" w:space="0" w:color="auto"/>
        <w:left w:val="none" w:sz="0" w:space="0" w:color="auto"/>
        <w:bottom w:val="none" w:sz="0" w:space="0" w:color="auto"/>
        <w:right w:val="none" w:sz="0" w:space="0" w:color="auto"/>
      </w:divBdr>
    </w:div>
    <w:div w:id="402483099">
      <w:bodyDiv w:val="1"/>
      <w:marLeft w:val="0"/>
      <w:marRight w:val="0"/>
      <w:marTop w:val="0"/>
      <w:marBottom w:val="0"/>
      <w:divBdr>
        <w:top w:val="none" w:sz="0" w:space="0" w:color="auto"/>
        <w:left w:val="none" w:sz="0" w:space="0" w:color="auto"/>
        <w:bottom w:val="none" w:sz="0" w:space="0" w:color="auto"/>
        <w:right w:val="none" w:sz="0" w:space="0" w:color="auto"/>
      </w:divBdr>
      <w:divsChild>
        <w:div w:id="1630622835">
          <w:marLeft w:val="446"/>
          <w:marRight w:val="0"/>
          <w:marTop w:val="0"/>
          <w:marBottom w:val="0"/>
          <w:divBdr>
            <w:top w:val="none" w:sz="0" w:space="0" w:color="auto"/>
            <w:left w:val="none" w:sz="0" w:space="0" w:color="auto"/>
            <w:bottom w:val="none" w:sz="0" w:space="0" w:color="auto"/>
            <w:right w:val="none" w:sz="0" w:space="0" w:color="auto"/>
          </w:divBdr>
        </w:div>
        <w:div w:id="1722362683">
          <w:marLeft w:val="446"/>
          <w:marRight w:val="0"/>
          <w:marTop w:val="0"/>
          <w:marBottom w:val="0"/>
          <w:divBdr>
            <w:top w:val="none" w:sz="0" w:space="0" w:color="auto"/>
            <w:left w:val="none" w:sz="0" w:space="0" w:color="auto"/>
            <w:bottom w:val="none" w:sz="0" w:space="0" w:color="auto"/>
            <w:right w:val="none" w:sz="0" w:space="0" w:color="auto"/>
          </w:divBdr>
        </w:div>
      </w:divsChild>
    </w:div>
    <w:div w:id="994649983">
      <w:bodyDiv w:val="1"/>
      <w:marLeft w:val="0"/>
      <w:marRight w:val="0"/>
      <w:marTop w:val="0"/>
      <w:marBottom w:val="0"/>
      <w:divBdr>
        <w:top w:val="none" w:sz="0" w:space="0" w:color="auto"/>
        <w:left w:val="none" w:sz="0" w:space="0" w:color="auto"/>
        <w:bottom w:val="none" w:sz="0" w:space="0" w:color="auto"/>
        <w:right w:val="none" w:sz="0" w:space="0" w:color="auto"/>
      </w:divBdr>
    </w:div>
    <w:div w:id="1043746612">
      <w:bodyDiv w:val="1"/>
      <w:marLeft w:val="0"/>
      <w:marRight w:val="0"/>
      <w:marTop w:val="0"/>
      <w:marBottom w:val="0"/>
      <w:divBdr>
        <w:top w:val="none" w:sz="0" w:space="0" w:color="auto"/>
        <w:left w:val="none" w:sz="0" w:space="0" w:color="auto"/>
        <w:bottom w:val="none" w:sz="0" w:space="0" w:color="auto"/>
        <w:right w:val="none" w:sz="0" w:space="0" w:color="auto"/>
      </w:divBdr>
      <w:divsChild>
        <w:div w:id="1379278965">
          <w:marLeft w:val="446"/>
          <w:marRight w:val="0"/>
          <w:marTop w:val="0"/>
          <w:marBottom w:val="0"/>
          <w:divBdr>
            <w:top w:val="none" w:sz="0" w:space="0" w:color="auto"/>
            <w:left w:val="none" w:sz="0" w:space="0" w:color="auto"/>
            <w:bottom w:val="none" w:sz="0" w:space="0" w:color="auto"/>
            <w:right w:val="none" w:sz="0" w:space="0" w:color="auto"/>
          </w:divBdr>
        </w:div>
      </w:divsChild>
    </w:div>
    <w:div w:id="19411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1987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Silva</dc:creator>
  <cp:keywords/>
  <dc:description/>
  <cp:lastModifiedBy>Juan Gamboa</cp:lastModifiedBy>
  <cp:revision>2</cp:revision>
  <dcterms:created xsi:type="dcterms:W3CDTF">2024-06-21T14:38:00Z</dcterms:created>
  <dcterms:modified xsi:type="dcterms:W3CDTF">2024-06-21T14:38:00Z</dcterms:modified>
</cp:coreProperties>
</file>